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3F3BC4" w:rsidRDefault="00B566AF" w:rsidP="00B566AF">
      <w:pPr>
        <w:pStyle w:val="Heading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Heading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77777777" w:rsidR="009E7568"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9E7568">
        <w:rPr>
          <w:rFonts w:asciiTheme="minorHAnsi" w:hAnsiTheme="minorHAnsi" w:cstheme="minorHAnsi"/>
          <w:sz w:val="22"/>
          <w:szCs w:val="22"/>
        </w:rPr>
        <w:t>proiectelor de infrastructură de turism/cultură/patrimoniu.</w:t>
      </w:r>
      <w:r w:rsidR="009E7568" w:rsidRPr="009E7568">
        <w:rPr>
          <w:rFonts w:asciiTheme="minorHAnsi" w:hAnsiTheme="minorHAnsi" w:cstheme="minorHAnsi"/>
          <w:b/>
          <w:sz w:val="22"/>
          <w:szCs w:val="22"/>
        </w:rPr>
        <w:t xml:space="preserve"> </w:t>
      </w:r>
    </w:p>
    <w:p w14:paraId="586DEDCF" w14:textId="39A46CBB"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r w:rsidRPr="009E7568">
        <w:rPr>
          <w:rFonts w:asciiTheme="minorHAnsi" w:hAnsiTheme="minorHAnsi" w:cstheme="minorHAnsi"/>
          <w:i/>
          <w:sz w:val="22"/>
          <w:szCs w:val="22"/>
        </w:rPr>
        <w:t>Categoria  A: Conservarea, protecția și valorificarea durabilă a patrimoniului cultural,</w:t>
      </w:r>
      <w:r w:rsidRPr="009E7568">
        <w:rPr>
          <w:rFonts w:asciiTheme="minorHAnsi" w:hAnsiTheme="minorHAnsi" w:cstheme="minorHAnsi"/>
          <w:sz w:val="22"/>
          <w:szCs w:val="22"/>
        </w:rPr>
        <w:t xml:space="preserve"> </w:t>
      </w:r>
      <w:r w:rsidRPr="009E7568">
        <w:rPr>
          <w:rFonts w:asciiTheme="minorHAnsi" w:hAnsiTheme="minorHAnsi" w:cstheme="minorHAnsi"/>
          <w:i/>
          <w:sz w:val="22"/>
          <w:szCs w:val="22"/>
        </w:rPr>
        <w:t xml:space="preserve">Categoria B: Investiții (reabilitare/modernizare/extindere și dotare) în clădiri destinate utilizării publice pentru activități culturale și recreative, socioculturale </w:t>
      </w:r>
      <w:r w:rsidRPr="009E7568">
        <w:rPr>
          <w:rFonts w:asciiTheme="minorHAnsi" w:hAnsiTheme="minorHAnsi" w:cstheme="minorHAnsi"/>
          <w:sz w:val="22"/>
          <w:szCs w:val="22"/>
        </w:rPr>
        <w:t xml:space="preserve">și  </w:t>
      </w:r>
      <w:r w:rsidRPr="009E7568">
        <w:rPr>
          <w:rFonts w:asciiTheme="minorHAnsi" w:hAnsiTheme="minorHAnsi" w:cstheme="minorHAnsi"/>
          <w:i/>
          <w:sz w:val="22"/>
          <w:szCs w:val="22"/>
        </w:rPr>
        <w:t>D.</w:t>
      </w:r>
      <w:r w:rsidRPr="009E7568">
        <w:rPr>
          <w:rFonts w:asciiTheme="minorHAnsi" w:hAnsiTheme="minorHAnsi" w:cstheme="minorHAnsi"/>
          <w:sz w:val="22"/>
          <w:szCs w:val="22"/>
        </w:rPr>
        <w:t xml:space="preserve"> </w:t>
      </w:r>
      <w:r w:rsidRPr="009E7568">
        <w:rPr>
          <w:rFonts w:asciiTheme="minorHAnsi" w:hAnsiTheme="minorHAnsi" w:cstheme="minorHAnsi"/>
          <w:i/>
          <w:sz w:val="22"/>
          <w:szCs w:val="22"/>
        </w:rPr>
        <w:t>Dezvoltarea infrastructurii de turism și a activelor turistice publice.</w:t>
      </w:r>
    </w:p>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şi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ph"/>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finanţări;</w:t>
      </w:r>
    </w:p>
    <w:p w14:paraId="4A786747" w14:textId="77777777" w:rsidR="00934EBC" w:rsidRPr="003F3BC4" w:rsidRDefault="00934EBC" w:rsidP="00E2123F">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3F3BC4" w:rsidRDefault="00EC5702" w:rsidP="00246DF4">
      <w:pPr>
        <w:pStyle w:val="ListParagraph"/>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referinţă a indicatorului RCR 77 - Număr de vizitatori ai siturilor culturale și turistice care beneficiază de sprijin și </w:t>
      </w:r>
      <w:r w:rsidRPr="003F3BC4">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77777777" w:rsidR="00246DF4" w:rsidRPr="003F3BC4" w:rsidRDefault="00246DF4" w:rsidP="00246DF4">
      <w:pPr>
        <w:pStyle w:val="ListParagraph"/>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 xml:space="preserve">a activităţilor proiectelor de </w:t>
      </w:r>
      <w:r w:rsidRPr="003F3BC4">
        <w:rPr>
          <w:rFonts w:asciiTheme="minorHAnsi" w:hAnsiTheme="minorHAnsi" w:cstheme="minorHAnsi"/>
          <w:b/>
          <w:sz w:val="22"/>
          <w:szCs w:val="22"/>
        </w:rPr>
        <w:t>infrastructură de turism/cultură/patrimoniu</w:t>
      </w:r>
      <w:r w:rsidRPr="003F3BC4">
        <w:rPr>
          <w:rFonts w:asciiTheme="minorHAnsi" w:hAnsiTheme="minorHAnsi" w:cstheme="minorHAnsi"/>
          <w:sz w:val="22"/>
          <w:szCs w:val="22"/>
        </w:rPr>
        <w:t>, în conformitate cu prevederile Regulamentului (UE) nr. 1058/2021.</w:t>
      </w:r>
    </w:p>
    <w:p w14:paraId="42D48C70" w14:textId="77777777" w:rsidR="00EE0BB2" w:rsidRPr="003F3BC4"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47F5A738"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În conformitate cu prevederile secţiunii 3.</w:t>
      </w:r>
      <w:r w:rsidR="008436AC" w:rsidRPr="00FF538A">
        <w:rPr>
          <w:rFonts w:asciiTheme="minorHAnsi" w:hAnsiTheme="minorHAnsi" w:cstheme="minorHAnsi"/>
          <w:i/>
          <w:iCs/>
          <w:sz w:val="22"/>
          <w:szCs w:val="22"/>
        </w:rPr>
        <w:t xml:space="preserve">8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lastRenderedPageBreak/>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FF538A"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3E7120"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3E7120">
        <w:rPr>
          <w:rFonts w:asciiTheme="minorHAnsi" w:hAnsiTheme="minorHAnsi" w:cstheme="minorHAnsi"/>
          <w:b/>
          <w:bCs/>
          <w:sz w:val="22"/>
          <w:szCs w:val="22"/>
        </w:rPr>
        <w:t>Sustenabilitatea financiară a</w:t>
      </w:r>
      <w:r w:rsidRPr="003E7120">
        <w:rPr>
          <w:rFonts w:asciiTheme="minorHAnsi" w:hAnsiTheme="minorHAnsi" w:cstheme="minorHAnsi"/>
          <w:b/>
          <w:sz w:val="22"/>
          <w:szCs w:val="22"/>
        </w:rPr>
        <w:t xml:space="preserve"> proiectelor de infrastructură de turism/cultură/patrimoniu</w:t>
      </w:r>
    </w:p>
    <w:p w14:paraId="2CB5F4E1" w14:textId="77777777" w:rsidR="00866984" w:rsidRPr="003E7120"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Informaţiile furnizate se vor corela cu cele din </w:t>
      </w:r>
      <w:r w:rsidRPr="00FD2DE0">
        <w:rPr>
          <w:rFonts w:asciiTheme="minorHAnsi" w:hAnsiTheme="minorHAnsi" w:cstheme="minorHAnsi"/>
          <w:i/>
          <w:sz w:val="22"/>
          <w:szCs w:val="22"/>
        </w:rPr>
        <w:t>Modelul K - Bugetul proiectului și sursele de finanţare</w:t>
      </w:r>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Proiecţ</w:t>
      </w:r>
      <w:r w:rsidR="003E7120" w:rsidRPr="00FD2DE0">
        <w:rPr>
          <w:rFonts w:asciiTheme="minorHAnsi" w:hAnsiTheme="minorHAnsi" w:cstheme="minorHAnsi"/>
          <w:sz w:val="22"/>
          <w:szCs w:val="22"/>
        </w:rPr>
        <w:t>ii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3F3BC4">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Se vor descrie succint principalele rezultate ale fiecărei acţiuni.</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tradiționalității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lastRenderedPageBreak/>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7A378E18"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planul anual de prevenire și pe întreținere a obiectivului de patrimoniu ( program de inspecții periodice şi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3043EE31"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aferent; </w:t>
      </w:r>
    </w:p>
    <w:p w14:paraId="2CBEEFFA" w14:textId="7ED90106"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p>
    <w:p w14:paraId="340906D0"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56C311A"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p>
    <w:p w14:paraId="008711AA"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4C232" w14:textId="77777777" w:rsidR="009B3471" w:rsidRDefault="009B3471" w:rsidP="00B566AF">
      <w:pPr>
        <w:spacing w:before="0" w:after="0"/>
      </w:pPr>
      <w:r>
        <w:separator/>
      </w:r>
    </w:p>
  </w:endnote>
  <w:endnote w:type="continuationSeparator" w:id="0">
    <w:p w14:paraId="5B2B0C02" w14:textId="77777777" w:rsidR="009B3471" w:rsidRDefault="009B347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4871" w14:textId="77777777" w:rsidR="009B3471" w:rsidRDefault="009B3471" w:rsidP="00B566AF">
      <w:pPr>
        <w:spacing w:before="0" w:after="0"/>
      </w:pPr>
      <w:r>
        <w:separator/>
      </w:r>
    </w:p>
  </w:footnote>
  <w:footnote w:type="continuationSeparator" w:id="0">
    <w:p w14:paraId="3C3B5E29" w14:textId="77777777" w:rsidR="009B3471" w:rsidRDefault="009B3471"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B52D06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 xml:space="preserve">Apelul de proiecte nr. </w:t>
          </w:r>
          <w:r w:rsidR="00653B75" w:rsidRPr="00653B75">
            <w:rPr>
              <w:rFonts w:ascii="Calibri" w:eastAsia="Calibri" w:hAnsi="Calibri" w:cs="Calibri"/>
              <w:b/>
              <w:bCs/>
              <w:sz w:val="16"/>
              <w:szCs w:val="16"/>
            </w:rPr>
            <w:t>PR SV/MUN/1/7/5.1/2023</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04363847">
    <w:abstractNumId w:val="5"/>
  </w:num>
  <w:num w:numId="2" w16cid:durableId="28917002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1627395">
    <w:abstractNumId w:val="2"/>
  </w:num>
  <w:num w:numId="4" w16cid:durableId="945576665">
    <w:abstractNumId w:val="7"/>
  </w:num>
  <w:num w:numId="5" w16cid:durableId="1756432996">
    <w:abstractNumId w:val="0"/>
  </w:num>
  <w:num w:numId="6" w16cid:durableId="749960645">
    <w:abstractNumId w:val="3"/>
  </w:num>
  <w:num w:numId="7" w16cid:durableId="1186603024">
    <w:abstractNumId w:val="4"/>
  </w:num>
  <w:num w:numId="8" w16cid:durableId="3182651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53B75"/>
    <w:rsid w:val="006624AF"/>
    <w:rsid w:val="007709ED"/>
    <w:rsid w:val="008436AC"/>
    <w:rsid w:val="00866984"/>
    <w:rsid w:val="008C162F"/>
    <w:rsid w:val="008E72DB"/>
    <w:rsid w:val="00934EBC"/>
    <w:rsid w:val="00965F9A"/>
    <w:rsid w:val="00983059"/>
    <w:rsid w:val="00990DE1"/>
    <w:rsid w:val="009B3471"/>
    <w:rsid w:val="009E7568"/>
    <w:rsid w:val="00A37508"/>
    <w:rsid w:val="00A96F58"/>
    <w:rsid w:val="00AA56DE"/>
    <w:rsid w:val="00AD0B09"/>
    <w:rsid w:val="00B566AF"/>
    <w:rsid w:val="00CC45BE"/>
    <w:rsid w:val="00D27EF5"/>
    <w:rsid w:val="00D9246F"/>
    <w:rsid w:val="00DD3C5B"/>
    <w:rsid w:val="00E2123F"/>
    <w:rsid w:val="00EC5702"/>
    <w:rsid w:val="00EE0BB2"/>
    <w:rsid w:val="00FD2DE0"/>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5</Pages>
  <Words>1710</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42</cp:revision>
  <dcterms:created xsi:type="dcterms:W3CDTF">2022-12-02T14:25:00Z</dcterms:created>
  <dcterms:modified xsi:type="dcterms:W3CDTF">2023-08-18T12:10:00Z</dcterms:modified>
</cp:coreProperties>
</file>